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bookmarkStart w:colFirst="0" w:colLast="0" w:name="_q6hv6jy4ngh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ОПРОСНЫЙ ЛИСТ ДЛЯ ПОДБОРА ПРЕДОХРАНИТЕЛЬНОГО КЛАПАНА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38.0" w:type="dxa"/>
        <w:tblLayout w:type="fixed"/>
        <w:tblLook w:val="0400"/>
      </w:tblPr>
      <w:tblGrid>
        <w:gridCol w:w="426"/>
        <w:gridCol w:w="3685"/>
        <w:gridCol w:w="1702"/>
        <w:gridCol w:w="329"/>
        <w:gridCol w:w="1016"/>
        <w:gridCol w:w="118"/>
        <w:gridCol w:w="898"/>
        <w:gridCol w:w="567"/>
        <w:gridCol w:w="1465"/>
        <w:tblGridChange w:id="0">
          <w:tblGrid>
            <w:gridCol w:w="426"/>
            <w:gridCol w:w="3685"/>
            <w:gridCol w:w="1702"/>
            <w:gridCol w:w="329"/>
            <w:gridCol w:w="1016"/>
            <w:gridCol w:w="118"/>
            <w:gridCol w:w="898"/>
            <w:gridCol w:w="567"/>
            <w:gridCol w:w="146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заказчика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и адрес объекта установки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Рабочая 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пар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стерильный пар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вода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воздух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другая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Максимальная температура рабочей среды Tmax, 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 рабочей среды, кг/ч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(для газообразных сред – Нм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Давление настройки (давление начала открытия), бар изб.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Рабочее давление в трубопроводе,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бар изб.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Противодавление в сбросном трубопроводе за клапаном, бар изб.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Материал корпуса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чугун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углеродистая сталь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нержавеющая сталь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Тип присоединения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фланцевый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резьбовой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другое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Диаметр трубопровода, DN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установки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на улице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в помещении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Температура окружающей среды, 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                до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33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spacing w:after="0" w:line="240" w:lineRule="auto"/>
      <w:jc w:val="both"/>
      <w:rPr>
        <w:b w:val="1"/>
        <w:sz w:val="20"/>
        <w:szCs w:val="20"/>
      </w:rPr>
    </w:pPr>
    <w:r w:rsidDel="00000000" w:rsidR="00000000" w:rsidRPr="00000000">
      <w:rPr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color w:val="3d404e"/>
        <w:sz w:val="20"/>
        <w:szCs w:val="20"/>
        <w:rtl w:val="0"/>
      </w:rPr>
      <w:t xml:space="preserve"> — официальный представитель —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spacing w:after="0" w:line="240" w:lineRule="auto"/>
      <w:ind w:left="2160" w:right="-171" w:firstLine="0"/>
      <w:jc w:val="both"/>
      <w:rPr>
        <w:rFonts w:ascii="Times New Roman" w:cs="Times New Roman" w:eastAsia="Times New Roman" w:hAnsi="Times New Roman"/>
      </w:rPr>
    </w:pPr>
    <w:r w:rsidDel="00000000" w:rsidR="00000000" w:rsidRPr="00000000">
      <w:rPr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color w:val="3d404e"/>
        <w:sz w:val="20"/>
        <w:szCs w:val="20"/>
        <w:rtl w:val="0"/>
      </w:rPr>
      <w:t xml:space="preserve"> - официальный представитель          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41575990" distL="0" distR="0" hidden="0" layoutInCell="1" locked="0" relativeHeight="0" simplePos="0">
          <wp:simplePos x="0" y="0"/>
          <wp:positionH relativeFrom="column">
            <wp:posOffset>-13968</wp:posOffset>
          </wp:positionH>
          <wp:positionV relativeFrom="paragraph">
            <wp:posOffset>639</wp:posOffset>
          </wp:positionV>
          <wp:extent cx="1054800" cy="999101"/>
          <wp:effectExtent b="0" l="0" r="0" t="0"/>
          <wp:wrapSquare wrapText="bothSides" distB="0" distT="4157599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800" cy="9991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F">
    <w:pPr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b w:val="1"/>
        <w:rtl w:val="0"/>
      </w:rPr>
      <w:t xml:space="preserve">          </w:t>
    </w:r>
    <w:r w:rsidDel="00000000" w:rsidR="00000000" w:rsidRPr="00000000">
      <w:rPr>
        <w:sz w:val="20"/>
        <w:szCs w:val="20"/>
        <w:rtl w:val="0"/>
      </w:rPr>
      <w:t xml:space="preserve">Адрес: 344113, г. Ростов-на-Дону, ул. Орбитальная, д.46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spacing w:after="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         Тел: 8-800-222-68-78 Бесплатно по России / Моб: 8-928-296-49-10</w:t>
    </w:r>
  </w:p>
  <w:p w:rsidR="00000000" w:rsidDel="00000000" w:rsidP="00000000" w:rsidRDefault="00000000" w:rsidRPr="00000000" w14:paraId="000000B1">
    <w:pPr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sz w:val="20"/>
        <w:szCs w:val="20"/>
        <w:rtl w:val="0"/>
      </w:rPr>
      <w:t xml:space="preserve">Сайт: https://ugpromsnab.ru/</w:t>
      <w:tab/>
      <w:t xml:space="preserve">Электронная почта: upspump@yandex.ru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0.0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